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9" w:rsidRDefault="007A4399" w:rsidP="007A4399">
      <w:pPr>
        <w:jc w:val="center"/>
      </w:pPr>
      <w:r>
        <w:t>Feladatlap 1.</w:t>
      </w:r>
    </w:p>
    <w:p w:rsidR="007A4399" w:rsidRDefault="007A4399" w:rsidP="007A4399"/>
    <w:p w:rsidR="005379F8" w:rsidRDefault="007A4399" w:rsidP="007A4399">
      <w:pPr>
        <w:pStyle w:val="Listaszerbekezds"/>
        <w:numPr>
          <w:ilvl w:val="0"/>
          <w:numId w:val="1"/>
        </w:numPr>
        <w:ind w:left="567" w:hanging="567"/>
      </w:pPr>
      <w:r>
        <w:t>Egy vállalat értékesítési adatai a következőképpen alakultak</w:t>
      </w:r>
    </w:p>
    <w:p w:rsidR="007A4399" w:rsidRDefault="007A4399" w:rsidP="007A4399"/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1843"/>
        <w:gridCol w:w="1843"/>
      </w:tblGrid>
      <w:tr w:rsidR="007A4399" w:rsidRPr="00297AAF" w:rsidTr="004A2AD2">
        <w:tc>
          <w:tcPr>
            <w:tcW w:w="1134" w:type="dxa"/>
            <w:vAlign w:val="center"/>
          </w:tcPr>
          <w:p w:rsidR="007A4399" w:rsidRPr="00297AAF" w:rsidRDefault="007A4399" w:rsidP="00DA4D7E">
            <w:pPr>
              <w:jc w:val="center"/>
            </w:pPr>
            <w:bookmarkStart w:id="0" w:name="_Toc490871579"/>
            <w:bookmarkStart w:id="1" w:name="_Toc518616358"/>
            <w:r w:rsidRPr="00297AAF">
              <w:t>Év</w:t>
            </w:r>
            <w:bookmarkEnd w:id="0"/>
            <w:bookmarkEnd w:id="1"/>
          </w:p>
        </w:tc>
        <w:tc>
          <w:tcPr>
            <w:tcW w:w="1843" w:type="dxa"/>
          </w:tcPr>
          <w:p w:rsidR="007A4399" w:rsidRPr="00297AAF" w:rsidRDefault="007A4399" w:rsidP="00DA4D7E">
            <w:pPr>
              <w:spacing w:before="60" w:after="20"/>
              <w:jc w:val="center"/>
            </w:pPr>
            <w:r w:rsidRPr="00297AAF">
              <w:t>Értékesített mennyiség</w:t>
            </w:r>
            <w:r w:rsidRPr="00297AAF">
              <w:br/>
              <w:t>(tonna)</w:t>
            </w:r>
          </w:p>
        </w:tc>
        <w:tc>
          <w:tcPr>
            <w:tcW w:w="1843" w:type="dxa"/>
          </w:tcPr>
          <w:p w:rsidR="007A4399" w:rsidRPr="00297AAF" w:rsidRDefault="007A4399" w:rsidP="00DA4D7E">
            <w:pPr>
              <w:spacing w:before="60" w:after="20"/>
              <w:jc w:val="center"/>
            </w:pPr>
          </w:p>
        </w:tc>
        <w:tc>
          <w:tcPr>
            <w:tcW w:w="1843" w:type="dxa"/>
          </w:tcPr>
          <w:p w:rsidR="007A4399" w:rsidRPr="00297AAF" w:rsidRDefault="007A4399" w:rsidP="00DA4D7E">
            <w:pPr>
              <w:spacing w:before="60" w:after="20"/>
              <w:jc w:val="center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2006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 w:rsidRPr="00297AAF">
              <w:t>5</w:t>
            </w:r>
            <w:r>
              <w:t>00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2007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 w:rsidRPr="00297AAF">
              <w:t>9</w:t>
            </w:r>
            <w:r>
              <w:t>20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2008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 w:rsidRPr="00297AAF">
              <w:t>1</w:t>
            </w:r>
            <w:r>
              <w:t xml:space="preserve"> </w:t>
            </w:r>
            <w:r w:rsidRPr="00297AAF">
              <w:t>5</w:t>
            </w:r>
            <w:r>
              <w:t>12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2009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>
              <w:t xml:space="preserve">1 </w:t>
            </w:r>
            <w:r w:rsidRPr="00297AAF">
              <w:t>30</w:t>
            </w:r>
            <w:r>
              <w:t>5</w:t>
            </w: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2010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>
              <w:t>1 6</w:t>
            </w:r>
            <w:r w:rsidRPr="00297AAF">
              <w:t>55</w:t>
            </w: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2011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>
              <w:t xml:space="preserve">1 </w:t>
            </w:r>
            <w:r w:rsidRPr="00297AAF">
              <w:t>83</w:t>
            </w:r>
            <w:r>
              <w:t>0</w:t>
            </w: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 w:rsidRPr="00297AAF">
              <w:t>2012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 w:rsidRPr="00297AAF">
              <w:t>1</w:t>
            </w:r>
            <w:r>
              <w:t xml:space="preserve"> 728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</w:p>
        </w:tc>
      </w:tr>
      <w:tr w:rsidR="007A4399" w:rsidRPr="00297AAF" w:rsidTr="004A2AD2">
        <w:tc>
          <w:tcPr>
            <w:tcW w:w="1134" w:type="dxa"/>
          </w:tcPr>
          <w:p w:rsidR="007A4399" w:rsidRPr="00297AAF" w:rsidRDefault="007A4399" w:rsidP="00DA4D7E">
            <w:pPr>
              <w:spacing w:before="60" w:after="60"/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7A4399" w:rsidRPr="00297AAF" w:rsidRDefault="007A4399" w:rsidP="007A4399">
            <w:pPr>
              <w:spacing w:before="60" w:after="60"/>
              <w:ind w:right="72"/>
              <w:jc w:val="right"/>
            </w:pPr>
            <w:r>
              <w:t>2 010</w:t>
            </w: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  <w:tc>
          <w:tcPr>
            <w:tcW w:w="1843" w:type="dxa"/>
          </w:tcPr>
          <w:p w:rsidR="007A4399" w:rsidRDefault="007A4399" w:rsidP="007A4399">
            <w:pPr>
              <w:spacing w:before="60" w:after="60"/>
              <w:ind w:right="72"/>
              <w:jc w:val="right"/>
            </w:pPr>
          </w:p>
        </w:tc>
      </w:tr>
    </w:tbl>
    <w:p w:rsidR="007A4399" w:rsidRDefault="002A31F8" w:rsidP="002A31F8">
      <w:pPr>
        <w:jc w:val="center"/>
      </w:pPr>
      <w:r>
        <w:t>Számítsa ki az értékesítés változásának mértékét és ütemét!</w:t>
      </w:r>
    </w:p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Default="007A4399" w:rsidP="007A4399"/>
    <w:p w:rsidR="007A4399" w:rsidRPr="00A03E79" w:rsidRDefault="00A03E79" w:rsidP="00A03E79">
      <w:pPr>
        <w:pStyle w:val="Listaszerbekezds"/>
        <w:numPr>
          <w:ilvl w:val="0"/>
          <w:numId w:val="1"/>
        </w:numPr>
        <w:ind w:left="567" w:hanging="567"/>
      </w:pPr>
      <w:r w:rsidRPr="00A03E79">
        <w:rPr>
          <w:rFonts w:eastAsia="Times New Roman"/>
          <w:iCs/>
          <w:lang w:eastAsia="hu-HU"/>
        </w:rPr>
        <w:t>A lakás</w:t>
      </w:r>
      <w:r w:rsidR="002A31F8">
        <w:rPr>
          <w:rFonts w:eastAsia="Times New Roman"/>
          <w:iCs/>
          <w:lang w:eastAsia="hu-HU"/>
        </w:rPr>
        <w:t>építés alakulása</w:t>
      </w:r>
    </w:p>
    <w:p w:rsidR="00A03E79" w:rsidRDefault="00A03E79" w:rsidP="00A03E79"/>
    <w:tbl>
      <w:tblPr>
        <w:tblW w:w="71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9"/>
        <w:gridCol w:w="939"/>
        <w:gridCol w:w="1380"/>
        <w:gridCol w:w="1274"/>
        <w:gridCol w:w="1331"/>
        <w:gridCol w:w="1427"/>
      </w:tblGrid>
      <w:tr w:rsidR="00A03E79" w:rsidRPr="00A03E79" w:rsidTr="002A31F8">
        <w:trPr>
          <w:trHeight w:val="53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Év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Az épített lakások száma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Ebből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Épített lakások átlagos alapterülete, m</w:t>
            </w:r>
            <w:r w:rsidRPr="00A03E79">
              <w:rPr>
                <w:rFonts w:eastAsia="Times New Roman"/>
                <w:b/>
                <w:bCs/>
                <w:vertAlign w:val="superscript"/>
                <w:lang w:eastAsia="hu-HU"/>
              </w:rPr>
              <w:t>2</w:t>
            </w:r>
          </w:p>
        </w:tc>
      </w:tr>
      <w:tr w:rsidR="00A03E79" w:rsidRPr="00A03E79" w:rsidTr="00A03E79">
        <w:trPr>
          <w:trHeight w:val="792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ön-kormányzat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vállalkozás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természetes személy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A03E79" w:rsidRPr="00A03E79" w:rsidTr="00A03E79">
        <w:trPr>
          <w:trHeight w:val="264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A03E79">
              <w:rPr>
                <w:rFonts w:eastAsia="Times New Roman"/>
                <w:b/>
                <w:bCs/>
                <w:lang w:eastAsia="hu-HU"/>
              </w:rPr>
              <w:t>által épített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left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36 075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17 014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18 895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90,0</w:t>
            </w: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31 994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16 424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15 320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88,8</w:t>
            </w: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20 823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10 388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10 300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92,0</w:t>
            </w: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12 655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4 392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8 007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103,1</w:t>
            </w: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10 560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3 218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7 177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107,2</w:t>
            </w:r>
          </w:p>
        </w:tc>
      </w:tr>
      <w:tr w:rsidR="002A31F8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F8" w:rsidRPr="008A4B62" w:rsidRDefault="002A31F8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</w:p>
        </w:tc>
      </w:tr>
      <w:tr w:rsidR="00A03E79" w:rsidRPr="00A03E79" w:rsidTr="00A03E79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7 293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2 924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4 167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79" w:rsidRPr="00A03E79" w:rsidRDefault="00A03E79" w:rsidP="00A03E7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A03E79">
              <w:rPr>
                <w:rFonts w:eastAsia="Times New Roman"/>
                <w:lang w:eastAsia="hu-HU"/>
              </w:rPr>
              <w:t>101,3</w:t>
            </w:r>
          </w:p>
        </w:tc>
      </w:tr>
    </w:tbl>
    <w:p w:rsidR="00A03E79" w:rsidRDefault="00A03E79" w:rsidP="00A03E79"/>
    <w:p w:rsidR="002A31F8" w:rsidRDefault="002A31F8" w:rsidP="00A03E79">
      <w:r>
        <w:t>Számítsa ki, hogy 2012-ben hogyan oszlott meg a lakások száma az építtetők között!</w:t>
      </w:r>
    </w:p>
    <w:p w:rsidR="002A31F8" w:rsidRDefault="002A31F8" w:rsidP="00A03E79">
      <w:r>
        <w:t>Számítsa ki, hogy mennyi volt az átlagos lakásméret a vizsgált éveket figyelembe véve!</w:t>
      </w:r>
    </w:p>
    <w:p w:rsidR="009D517F" w:rsidRDefault="009D517F" w:rsidP="00A03E79"/>
    <w:p w:rsidR="003875E6" w:rsidRPr="003875E6" w:rsidRDefault="003875E6" w:rsidP="003875E6">
      <w:pPr>
        <w:pStyle w:val="Listaszerbekezds"/>
        <w:numPr>
          <w:ilvl w:val="0"/>
          <w:numId w:val="1"/>
        </w:numPr>
        <w:ind w:left="567" w:hanging="567"/>
      </w:pPr>
      <w:r w:rsidRPr="003875E6">
        <w:rPr>
          <w:rFonts w:eastAsia="Times New Roman"/>
          <w:iCs/>
          <w:sz w:val="22"/>
          <w:szCs w:val="22"/>
          <w:lang w:eastAsia="hu-HU"/>
        </w:rPr>
        <w:lastRenderedPageBreak/>
        <w:t>Egy cukorgyár termelékenységi mutatói</w:t>
      </w:r>
    </w:p>
    <w:p w:rsidR="003875E6" w:rsidRDefault="003875E6" w:rsidP="003875E6"/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98"/>
        <w:gridCol w:w="4217"/>
        <w:gridCol w:w="1223"/>
        <w:gridCol w:w="880"/>
        <w:gridCol w:w="860"/>
        <w:gridCol w:w="1432"/>
      </w:tblGrid>
      <w:tr w:rsidR="009D517F" w:rsidRPr="003875E6" w:rsidTr="003551D4">
        <w:trPr>
          <w:trHeight w:val="399"/>
        </w:trPr>
        <w:tc>
          <w:tcPr>
            <w:tcW w:w="8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Egy cukorgyár adatai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9D517F" w:rsidRPr="003875E6" w:rsidTr="003551D4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proofErr w:type="spellStart"/>
            <w:r w:rsidRPr="003875E6">
              <w:rPr>
                <w:rFonts w:eastAsia="Times New Roman"/>
                <w:sz w:val="22"/>
                <w:szCs w:val="22"/>
                <w:lang w:eastAsia="hu-HU"/>
              </w:rPr>
              <w:t>Me</w:t>
            </w:r>
            <w:proofErr w:type="spellEnd"/>
            <w:r w:rsidRPr="003875E6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2013</w:t>
            </w: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17F" w:rsidRPr="003875E6" w:rsidRDefault="009D517F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3875E6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Alkalmazottak évi átlagos száma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3875E6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Ebből: fizikai foglalkozású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208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3875E6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Feldolgozott cukorrépa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1000 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475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3875E6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Cukortermelés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1000 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585522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22" w:rsidRPr="003875E6" w:rsidRDefault="00585522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Fizikai foglalkozásúak által teljesített munkaórák száma a kampány alatt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1000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3875E6" w:rsidRPr="003875E6" w:rsidTr="009D517F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Egy alkalmazottra jutó cukortermelés (ezer tonna/fő)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1000 t/fő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0,277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0,297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3875E6" w:rsidRPr="003875E6" w:rsidTr="00585522">
        <w:trPr>
          <w:trHeight w:val="3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E6" w:rsidRPr="003875E6" w:rsidRDefault="003875E6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Egy fizikai foglalkoztatottra jutó cukortermelés (ezer t/fő)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1000 t/fő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0,326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0,337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5E6" w:rsidRPr="003875E6" w:rsidRDefault="003875E6" w:rsidP="003875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585522" w:rsidRPr="003875E6" w:rsidTr="00585522">
        <w:trPr>
          <w:trHeight w:val="4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22" w:rsidRPr="003875E6" w:rsidRDefault="00585522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Fizikai alkalmazottak aránya az összes alkalmazottból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sz w:val="22"/>
                <w:szCs w:val="22"/>
                <w:lang w:eastAsia="hu-HU"/>
              </w:rPr>
              <w:t>százalék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hu-HU"/>
              </w:rPr>
            </w:pPr>
            <w:r w:rsidRPr="003875E6">
              <w:rPr>
                <w:rFonts w:eastAsia="Times New Roman"/>
                <w:bCs/>
                <w:sz w:val="22"/>
                <w:szCs w:val="22"/>
                <w:lang w:eastAsia="hu-HU"/>
              </w:rPr>
              <w:t>88,1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22" w:rsidRPr="003875E6" w:rsidRDefault="00585522" w:rsidP="003875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</w:tbl>
    <w:p w:rsidR="003875E6" w:rsidRDefault="003875E6" w:rsidP="003875E6"/>
    <w:p w:rsidR="003875E6" w:rsidRDefault="003875E6" w:rsidP="003875E6">
      <w:r>
        <w:t>Számítsa ki a cukorgyári adatok változását!</w:t>
      </w:r>
    </w:p>
    <w:p w:rsidR="003875E6" w:rsidRPr="003875E6" w:rsidRDefault="003875E6" w:rsidP="003875E6"/>
    <w:p w:rsidR="003875E6" w:rsidRPr="003875E6" w:rsidRDefault="003875E6" w:rsidP="00A03E79">
      <w:pPr>
        <w:pStyle w:val="Listaszerbekezds"/>
        <w:numPr>
          <w:ilvl w:val="0"/>
          <w:numId w:val="1"/>
        </w:numPr>
        <w:ind w:left="567" w:hanging="567"/>
      </w:pPr>
    </w:p>
    <w:p w:rsidR="003875E6" w:rsidRDefault="003875E6" w:rsidP="009D517F"/>
    <w:tbl>
      <w:tblPr>
        <w:tblW w:w="63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619"/>
        <w:gridCol w:w="1325"/>
        <w:gridCol w:w="970"/>
        <w:gridCol w:w="1007"/>
      </w:tblGrid>
      <w:tr w:rsidR="009D517F" w:rsidRPr="009D517F" w:rsidTr="009D517F">
        <w:trPr>
          <w:trHeight w:val="253"/>
        </w:trPr>
        <w:tc>
          <w:tcPr>
            <w:tcW w:w="6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Végzettség és keresetek Magyarországon, 20</w:t>
            </w: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1</w:t>
            </w:r>
            <w:r w:rsidRPr="009D517F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0-b</w:t>
            </w: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</w:t>
            </w:r>
            <w:r w:rsidRPr="009D517F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n</w:t>
            </w:r>
          </w:p>
        </w:tc>
      </w:tr>
      <w:tr w:rsidR="009D517F" w:rsidRPr="009D517F" w:rsidTr="009D517F">
        <w:trPr>
          <w:trHeight w:val="253"/>
        </w:trPr>
        <w:tc>
          <w:tcPr>
            <w:tcW w:w="6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17F" w:rsidRPr="009D517F" w:rsidRDefault="009D517F" w:rsidP="009D517F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9D517F" w:rsidRPr="009D517F" w:rsidTr="009D517F">
        <w:trPr>
          <w:trHeight w:val="276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Végzettség</w:t>
            </w:r>
          </w:p>
        </w:tc>
      </w:tr>
      <w:tr w:rsidR="009D517F" w:rsidRPr="009D517F" w:rsidTr="009D517F">
        <w:trPr>
          <w:trHeight w:val="276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7F" w:rsidRPr="009D517F" w:rsidRDefault="009D517F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Szakközépiskola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Gimnázium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Főiskola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Egyetem</w:t>
            </w:r>
          </w:p>
        </w:tc>
      </w:tr>
      <w:tr w:rsidR="009D517F" w:rsidRPr="009D517F" w:rsidTr="009D517F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7F" w:rsidRPr="009D517F" w:rsidRDefault="009D517F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 xml:space="preserve">Havi bruttó </w:t>
            </w:r>
            <w:proofErr w:type="spellStart"/>
            <w:r w:rsidRPr="009D517F">
              <w:rPr>
                <w:rFonts w:eastAsia="Times New Roman"/>
                <w:sz w:val="22"/>
                <w:szCs w:val="22"/>
                <w:lang w:eastAsia="hu-HU"/>
              </w:rPr>
              <w:t>átlagkeresetkereset</w:t>
            </w:r>
            <w:proofErr w:type="spellEnd"/>
            <w:r w:rsidRPr="009D517F">
              <w:rPr>
                <w:rFonts w:eastAsia="Times New Roman"/>
                <w:sz w:val="22"/>
                <w:szCs w:val="22"/>
                <w:lang w:eastAsia="hu-HU"/>
              </w:rPr>
              <w:t xml:space="preserve"> (ezer Ft/hó)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474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326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366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347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428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242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473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561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685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501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428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307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286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9D517F">
              <w:rPr>
                <w:rFonts w:eastAsia="Times New Roman"/>
                <w:sz w:val="22"/>
                <w:szCs w:val="22"/>
                <w:lang w:eastAsia="hu-HU"/>
              </w:rPr>
              <w:t>326</w:t>
            </w:r>
          </w:p>
        </w:tc>
      </w:tr>
      <w:tr w:rsidR="009D517F" w:rsidRPr="009D517F" w:rsidTr="009D517F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Átlagos kereset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7F" w:rsidRPr="009D517F" w:rsidRDefault="009D517F" w:rsidP="009D517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:rsidR="009D517F" w:rsidRDefault="009D517F" w:rsidP="009D517F"/>
    <w:p w:rsidR="006F5416" w:rsidRDefault="006F5416" w:rsidP="009D517F"/>
    <w:p w:rsidR="006F5416" w:rsidRDefault="006F5416" w:rsidP="009D517F"/>
    <w:p w:rsidR="006F5416" w:rsidRDefault="006F5416" w:rsidP="006F5416">
      <w:pPr>
        <w:pStyle w:val="Listaszerbekezds"/>
        <w:numPr>
          <w:ilvl w:val="0"/>
          <w:numId w:val="1"/>
        </w:numPr>
        <w:ind w:left="567" w:hanging="567"/>
      </w:pPr>
      <w:r w:rsidRPr="006F5416">
        <w:lastRenderedPageBreak/>
        <w:t>A tehenészeti telep tejtermelésének és szarvasmarha-állományának alakulása</w:t>
      </w:r>
    </w:p>
    <w:p w:rsidR="006F5416" w:rsidRDefault="006F5416" w:rsidP="006F54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29"/>
        <w:gridCol w:w="2536"/>
      </w:tblGrid>
      <w:tr w:rsidR="006F5416" w:rsidRPr="00297AAF" w:rsidTr="00DA4D7E">
        <w:trPr>
          <w:trHeight w:val="8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416" w:rsidRPr="00297AAF" w:rsidRDefault="006F5416" w:rsidP="00DA4D7E">
            <w:pPr>
              <w:spacing w:before="60"/>
              <w:jc w:val="center"/>
            </w:pPr>
            <w:r w:rsidRPr="00297AAF">
              <w:t>Év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416" w:rsidRPr="00297AAF" w:rsidRDefault="006F5416" w:rsidP="00DA4D7E">
            <w:pPr>
              <w:spacing w:before="60"/>
              <w:jc w:val="center"/>
            </w:pPr>
            <w:r w:rsidRPr="00297AAF">
              <w:t>Adott évi tejtermelés</w:t>
            </w:r>
          </w:p>
          <w:p w:rsidR="006F5416" w:rsidRPr="00297AAF" w:rsidRDefault="006F5416" w:rsidP="00DA4D7E">
            <w:pPr>
              <w:spacing w:after="60"/>
              <w:jc w:val="center"/>
            </w:pPr>
            <w:r w:rsidRPr="00297AAF">
              <w:t>[tonna]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416" w:rsidRPr="00297AAF" w:rsidRDefault="006F5416" w:rsidP="00DA4D7E">
            <w:pPr>
              <w:spacing w:before="60"/>
              <w:jc w:val="center"/>
            </w:pPr>
            <w:r w:rsidRPr="00297AAF">
              <w:t>Szarvasmarha-állomány</w:t>
            </w:r>
          </w:p>
          <w:p w:rsidR="006F5416" w:rsidRPr="00297AAF" w:rsidRDefault="006F5416" w:rsidP="00DA4D7E">
            <w:pPr>
              <w:jc w:val="center"/>
            </w:pPr>
            <w:r w:rsidRPr="00297AAF">
              <w:t>(</w:t>
            </w:r>
            <w:r w:rsidRPr="00297AAF">
              <w:rPr>
                <w:i/>
              </w:rPr>
              <w:t>december 31-én</w:t>
            </w:r>
            <w:r w:rsidRPr="00297AAF">
              <w:t>)</w:t>
            </w:r>
          </w:p>
          <w:p w:rsidR="006F5416" w:rsidRPr="00297AAF" w:rsidRDefault="006F5416" w:rsidP="00DA4D7E">
            <w:pPr>
              <w:spacing w:after="60"/>
              <w:jc w:val="center"/>
            </w:pPr>
            <w:r w:rsidRPr="00297AAF">
              <w:t>[darab]</w:t>
            </w:r>
          </w:p>
        </w:tc>
      </w:tr>
      <w:tr w:rsidR="006F5416" w:rsidRPr="00297AAF" w:rsidTr="00DA4D7E">
        <w:trPr>
          <w:jc w:val="center"/>
        </w:trPr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</w:pPr>
            <w:r w:rsidRPr="00297AAF">
              <w:t>2008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8.400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1.050</w:t>
            </w:r>
          </w:p>
        </w:tc>
      </w:tr>
      <w:tr w:rsidR="006F5416" w:rsidRPr="00297AAF" w:rsidTr="00DA4D7E">
        <w:trPr>
          <w:jc w:val="center"/>
        </w:trPr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</w:pPr>
            <w:r w:rsidRPr="00297AAF">
              <w:t>2009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7.700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970</w:t>
            </w:r>
          </w:p>
        </w:tc>
      </w:tr>
      <w:tr w:rsidR="006F5416" w:rsidRPr="00297AAF" w:rsidTr="00DA4D7E">
        <w:trPr>
          <w:jc w:val="center"/>
        </w:trPr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</w:pPr>
            <w:r w:rsidRPr="00297AAF">
              <w:t>2010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8.800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1.100</w:t>
            </w:r>
          </w:p>
        </w:tc>
      </w:tr>
      <w:tr w:rsidR="006F5416" w:rsidRPr="00297AAF" w:rsidTr="00DA4D7E">
        <w:trPr>
          <w:jc w:val="center"/>
        </w:trPr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</w:pPr>
            <w:r w:rsidRPr="00297AAF">
              <w:t>2011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9.000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1.120</w:t>
            </w:r>
          </w:p>
        </w:tc>
      </w:tr>
      <w:tr w:rsidR="006F5416" w:rsidRPr="00297AAF" w:rsidTr="00DA4D7E">
        <w:trPr>
          <w:jc w:val="center"/>
        </w:trPr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</w:pPr>
            <w:r w:rsidRPr="00297AAF">
              <w:t>2012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8.500</w:t>
            </w:r>
          </w:p>
        </w:tc>
        <w:tc>
          <w:tcPr>
            <w:tcW w:w="0" w:type="auto"/>
            <w:shd w:val="clear" w:color="auto" w:fill="auto"/>
          </w:tcPr>
          <w:p w:rsidR="006F5416" w:rsidRPr="00297AAF" w:rsidRDefault="006F5416" w:rsidP="00DA4D7E">
            <w:pPr>
              <w:spacing w:before="60" w:after="60"/>
              <w:jc w:val="center"/>
            </w:pPr>
            <w:r w:rsidRPr="00297AAF">
              <w:t>1.050</w:t>
            </w:r>
          </w:p>
        </w:tc>
      </w:tr>
    </w:tbl>
    <w:p w:rsidR="006F5416" w:rsidRDefault="006F5416" w:rsidP="006F5416"/>
    <w:p w:rsidR="006F5416" w:rsidRDefault="006F5416" w:rsidP="006F5416">
      <w:r>
        <w:t xml:space="preserve">Számítsa ki </w:t>
      </w:r>
      <w:proofErr w:type="gramStart"/>
      <w:r>
        <w:t xml:space="preserve">a </w:t>
      </w:r>
      <w:r w:rsidRPr="00297AAF">
        <w:t xml:space="preserve"> vizsgált</w:t>
      </w:r>
      <w:proofErr w:type="gramEnd"/>
      <w:r w:rsidRPr="00297AAF">
        <w:t xml:space="preserve"> időszakra vonatkozóan az éves átlagos tejtermelés és szarvasmarha-állomány</w:t>
      </w:r>
      <w:r>
        <w:t>!</w:t>
      </w:r>
    </w:p>
    <w:p w:rsidR="006F5416" w:rsidRDefault="006F5416" w:rsidP="006F5416"/>
    <w:p w:rsidR="006F5416" w:rsidRPr="006F5416" w:rsidRDefault="00523E00" w:rsidP="006F5416">
      <w:pPr>
        <w:pStyle w:val="Listaszerbekezds"/>
        <w:numPr>
          <w:ilvl w:val="0"/>
          <w:numId w:val="1"/>
        </w:numPr>
        <w:ind w:left="567" w:hanging="567"/>
      </w:pPr>
      <w:r>
        <w:t>Az 1. pontban lévő táblázat adatainak felhasználásával határozza meg az értékesítés várható trendjét!</w:t>
      </w:r>
    </w:p>
    <w:p w:rsidR="006F5416" w:rsidRDefault="006F5416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Default="00523E00" w:rsidP="009D517F"/>
    <w:p w:rsidR="00523E00" w:rsidRPr="003875E6" w:rsidRDefault="00523E00" w:rsidP="006648C9"/>
    <w:sectPr w:rsidR="00523E00" w:rsidRPr="003875E6" w:rsidSect="009D51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89F"/>
    <w:multiLevelType w:val="hybridMultilevel"/>
    <w:tmpl w:val="CECAD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399"/>
    <w:rsid w:val="00067C93"/>
    <w:rsid w:val="002468A1"/>
    <w:rsid w:val="002A31F8"/>
    <w:rsid w:val="003875E6"/>
    <w:rsid w:val="004523C1"/>
    <w:rsid w:val="00523E00"/>
    <w:rsid w:val="005379F8"/>
    <w:rsid w:val="00585522"/>
    <w:rsid w:val="006648C9"/>
    <w:rsid w:val="006F5416"/>
    <w:rsid w:val="00785148"/>
    <w:rsid w:val="007A4399"/>
    <w:rsid w:val="008A4B62"/>
    <w:rsid w:val="009D517F"/>
    <w:rsid w:val="00A0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8A1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cp:lastPrinted>2014-09-30T16:18:00Z</cp:lastPrinted>
  <dcterms:created xsi:type="dcterms:W3CDTF">2014-09-30T15:40:00Z</dcterms:created>
  <dcterms:modified xsi:type="dcterms:W3CDTF">2014-09-30T16:33:00Z</dcterms:modified>
</cp:coreProperties>
</file>