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B130" w14:textId="77777777" w:rsidR="00E2220C" w:rsidRDefault="008C4BDA">
      <w:pPr>
        <w:pStyle w:val="Fisatitlu"/>
      </w:pPr>
      <w:r>
        <w:t>fișa disciplinei</w:t>
      </w:r>
    </w:p>
    <w:p w14:paraId="172E4A45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2CD2D712" w14:textId="77777777" w:rsidTr="008D60CB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5A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EE10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0E146431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9FB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D31B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6C07B988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53D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37C1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8D60CB" w14:paraId="33AE7C3D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8F1D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3D59" w14:textId="4413BB5B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EC1325">
              <w:rPr>
                <w:szCs w:val="22"/>
              </w:rPr>
              <w:t>Finanțe</w:t>
            </w:r>
          </w:p>
        </w:tc>
      </w:tr>
      <w:tr w:rsidR="008D60CB" w14:paraId="134C623F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0235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8120" w14:textId="44463883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EC1325">
              <w:rPr>
                <w:szCs w:val="22"/>
              </w:rPr>
              <w:t>Licență</w:t>
            </w:r>
          </w:p>
        </w:tc>
      </w:tr>
      <w:tr w:rsidR="008D60CB" w14:paraId="0E7F08D0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882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FA52" w14:textId="18118AC7" w:rsidR="008D60CB" w:rsidRDefault="006514E0" w:rsidP="008D60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Management</w:t>
            </w:r>
          </w:p>
        </w:tc>
      </w:tr>
    </w:tbl>
    <w:p w14:paraId="3A81D20E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4845FC9A" w14:textId="77777777" w:rsidTr="008D60CB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294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03A8" w14:textId="4C4BC4D7" w:rsidR="00E2220C" w:rsidRDefault="00F76C81">
            <w:pPr>
              <w:pStyle w:val="TableContents"/>
              <w:widowControl w:val="0"/>
              <w:rPr>
                <w:szCs w:val="22"/>
              </w:rPr>
            </w:pPr>
            <w:r w:rsidRPr="00F76C81">
              <w:rPr>
                <w:szCs w:val="22"/>
              </w:rPr>
              <w:t>Aplicații informatice în economie</w:t>
            </w:r>
          </w:p>
        </w:tc>
      </w:tr>
      <w:tr w:rsidR="00E2220C" w14:paraId="6153EEED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7F1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FC83" w14:textId="05092CF0" w:rsidR="00E2220C" w:rsidRDefault="00A043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Dr. ing. </w:t>
            </w:r>
            <w:r w:rsidR="008D60CB" w:rsidRPr="008D60CB">
              <w:rPr>
                <w:szCs w:val="22"/>
              </w:rPr>
              <w:t>Szél Alexandru</w:t>
            </w:r>
          </w:p>
        </w:tc>
      </w:tr>
      <w:tr w:rsidR="00E2220C" w14:paraId="73CEDE97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E2E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55FF" w14:textId="57DB2757" w:rsidR="00E2220C" w:rsidRDefault="008D60CB">
            <w:pPr>
              <w:pStyle w:val="TableContents"/>
              <w:widowControl w:val="0"/>
              <w:rPr>
                <w:szCs w:val="22"/>
              </w:rPr>
            </w:pPr>
            <w:r w:rsidRPr="008D60CB">
              <w:rPr>
                <w:szCs w:val="22"/>
              </w:rPr>
              <w:t>Zakota Zoltán</w:t>
            </w:r>
          </w:p>
        </w:tc>
      </w:tr>
      <w:tr w:rsidR="008D60CB" w14:paraId="46540FA1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4795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FB5F" w14:textId="6F2526A7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1</w:t>
            </w:r>
          </w:p>
        </w:tc>
      </w:tr>
      <w:tr w:rsidR="008D60CB" w14:paraId="307244FA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5C19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DEEE" w14:textId="3F74F902" w:rsidR="008D60CB" w:rsidRDefault="00F76C81" w:rsidP="008D60CB">
            <w:pPr>
              <w:pStyle w:val="TableContents"/>
              <w:widowControl w:val="0"/>
              <w:rPr>
                <w:szCs w:val="22"/>
              </w:rPr>
            </w:pPr>
            <w:r>
              <w:t>2</w:t>
            </w:r>
          </w:p>
        </w:tc>
      </w:tr>
      <w:tr w:rsidR="008D60CB" w14:paraId="090ABF4B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EF9B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DD69" w14:textId="23C892A0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examinare în scris</w:t>
            </w:r>
          </w:p>
        </w:tc>
      </w:tr>
      <w:tr w:rsidR="008D60CB" w14:paraId="2833F0E7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51EC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B4FD" w14:textId="60ADD2DF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Obligatoriu, DF</w:t>
            </w:r>
          </w:p>
        </w:tc>
      </w:tr>
    </w:tbl>
    <w:p w14:paraId="6BADA116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6F87CA70" w14:textId="77777777" w:rsidTr="006E6EF2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BAA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AE00" w14:textId="6CD5EAAF" w:rsidR="00E2220C" w:rsidRDefault="00710FF8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104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BC01" w14:textId="5E7A4E81" w:rsidR="00E2220C" w:rsidRDefault="00710FF8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330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6404" w14:textId="659927EB" w:rsidR="00E2220C" w:rsidRDefault="00710FF8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5FA60A54" w14:textId="77777777" w:rsidTr="006E6EF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47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52B" w14:textId="11E189D7" w:rsidR="00E2220C" w:rsidRDefault="00710FF8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E09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856C" w14:textId="67F4DCC8" w:rsidR="00E2220C" w:rsidRDefault="00710FF8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838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F50E" w14:textId="63102B8F" w:rsidR="00E2220C" w:rsidRDefault="00710FF8">
            <w:pPr>
              <w:pStyle w:val="TableContents"/>
              <w:widowControl w:val="0"/>
            </w:pPr>
            <w:r>
              <w:t>28</w:t>
            </w:r>
          </w:p>
        </w:tc>
      </w:tr>
      <w:tr w:rsidR="00E2220C" w14:paraId="5D74D3DB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1619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B843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9911FE" w14:paraId="3095D893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5984" w14:textId="77777777" w:rsidR="009911FE" w:rsidRDefault="009911FE" w:rsidP="009911FE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F871" w14:textId="7969E5CE" w:rsidR="009911FE" w:rsidRDefault="009911FE" w:rsidP="009911FE">
            <w:pPr>
              <w:pStyle w:val="TableContents"/>
              <w:widowControl w:val="0"/>
            </w:pPr>
            <w:r w:rsidRPr="00A344D6">
              <w:t>36</w:t>
            </w:r>
          </w:p>
        </w:tc>
      </w:tr>
      <w:tr w:rsidR="009911FE" w14:paraId="7EA1F9B1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4ADA" w14:textId="77777777" w:rsidR="009911FE" w:rsidRDefault="009911FE" w:rsidP="009911FE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8A07" w14:textId="5A8D5E88" w:rsidR="009911FE" w:rsidRDefault="009911FE" w:rsidP="009911FE">
            <w:pPr>
              <w:pStyle w:val="TableContents"/>
              <w:widowControl w:val="0"/>
            </w:pPr>
            <w:r w:rsidRPr="00A344D6">
              <w:t>20</w:t>
            </w:r>
          </w:p>
        </w:tc>
      </w:tr>
      <w:tr w:rsidR="009911FE" w14:paraId="60424D83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02A0" w14:textId="77777777" w:rsidR="009911FE" w:rsidRDefault="009911FE" w:rsidP="009911FE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6967" w14:textId="02F58A06" w:rsidR="009911FE" w:rsidRDefault="009911FE" w:rsidP="009911FE">
            <w:pPr>
              <w:pStyle w:val="TableContents"/>
              <w:widowControl w:val="0"/>
            </w:pPr>
            <w:r w:rsidRPr="00A344D6">
              <w:t>30</w:t>
            </w:r>
          </w:p>
        </w:tc>
      </w:tr>
      <w:tr w:rsidR="009911FE" w14:paraId="74BE0A47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8429" w14:textId="77777777" w:rsidR="009911FE" w:rsidRDefault="009911FE" w:rsidP="009911FE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1679" w14:textId="00AF0DC8" w:rsidR="009911FE" w:rsidRDefault="009911FE" w:rsidP="009911FE">
            <w:pPr>
              <w:pStyle w:val="TableContents"/>
              <w:widowControl w:val="0"/>
            </w:pPr>
            <w:r w:rsidRPr="00A344D6">
              <w:t>4</w:t>
            </w:r>
          </w:p>
        </w:tc>
      </w:tr>
      <w:tr w:rsidR="009911FE" w14:paraId="51C928EF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3C55" w14:textId="77777777" w:rsidR="009911FE" w:rsidRDefault="009911FE" w:rsidP="009911FE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4A24" w14:textId="4974EBE5" w:rsidR="009911FE" w:rsidRDefault="009911FE" w:rsidP="009911FE">
            <w:pPr>
              <w:pStyle w:val="TableContents"/>
              <w:widowControl w:val="0"/>
            </w:pPr>
            <w:r w:rsidRPr="00A344D6">
              <w:t>4</w:t>
            </w:r>
          </w:p>
        </w:tc>
      </w:tr>
      <w:tr w:rsidR="009911FE" w14:paraId="1768FDE4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3B35" w14:textId="77777777" w:rsidR="009911FE" w:rsidRDefault="009911FE" w:rsidP="009911FE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26B0" w14:textId="258A7F3E" w:rsidR="009911FE" w:rsidRDefault="009911FE" w:rsidP="009911FE">
            <w:pPr>
              <w:pStyle w:val="TableContents"/>
              <w:widowControl w:val="0"/>
            </w:pPr>
          </w:p>
        </w:tc>
      </w:tr>
      <w:tr w:rsidR="009911FE" w14:paraId="62F97FB8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C009" w14:textId="77777777" w:rsidR="009911FE" w:rsidRDefault="009911FE" w:rsidP="009911F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F98E" w14:textId="33DF44E7" w:rsidR="009911FE" w:rsidRDefault="009911FE" w:rsidP="009911FE">
            <w:pPr>
              <w:pStyle w:val="TableContents"/>
              <w:widowControl w:val="0"/>
            </w:pPr>
            <w:r w:rsidRPr="00A344D6">
              <w:t>94</w:t>
            </w:r>
          </w:p>
        </w:tc>
      </w:tr>
      <w:tr w:rsidR="009911FE" w14:paraId="7316664A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AC75" w14:textId="77777777" w:rsidR="009911FE" w:rsidRDefault="009911FE" w:rsidP="009911F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CC96" w14:textId="4E7F1218" w:rsidR="009911FE" w:rsidRDefault="009911FE" w:rsidP="009911FE">
            <w:pPr>
              <w:pStyle w:val="TableContents"/>
              <w:widowControl w:val="0"/>
            </w:pPr>
            <w:r w:rsidRPr="00A344D6">
              <w:t>150</w:t>
            </w:r>
          </w:p>
        </w:tc>
      </w:tr>
      <w:tr w:rsidR="006E6EF2" w14:paraId="757CDA16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FE2" w14:textId="77777777" w:rsidR="006E6EF2" w:rsidRDefault="006E6EF2" w:rsidP="006E6EF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344" w14:textId="2BE61F18" w:rsidR="006E6EF2" w:rsidRDefault="006E6EF2" w:rsidP="006E6EF2">
            <w:pPr>
              <w:pStyle w:val="TableContents"/>
              <w:widowControl w:val="0"/>
            </w:pPr>
            <w:r w:rsidRPr="00500689">
              <w:t>5</w:t>
            </w:r>
          </w:p>
        </w:tc>
      </w:tr>
    </w:tbl>
    <w:p w14:paraId="51C77BA6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732E1843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713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F425" w14:textId="77777777" w:rsidR="00E2220C" w:rsidRDefault="00E2220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2220C" w14:paraId="2750124E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C6F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B8B0" w14:textId="77777777" w:rsidR="00E2220C" w:rsidRDefault="00E2220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45DAF00F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095C70" w14:paraId="629FC6D2" w14:textId="77777777" w:rsidTr="00095C70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525A" w14:textId="77777777" w:rsidR="00095C70" w:rsidRDefault="00095C70" w:rsidP="00095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3DE8" w14:textId="793306C4" w:rsidR="00095C70" w:rsidRDefault="00095C70" w:rsidP="00095C70">
            <w:pPr>
              <w:pStyle w:val="TableContents"/>
              <w:widowControl w:val="0"/>
              <w:rPr>
                <w:szCs w:val="22"/>
              </w:rPr>
            </w:pPr>
            <w:r w:rsidRPr="00F80D14">
              <w:t>Sală de curs, calculator, videoproiector, tablă, Internet</w:t>
            </w:r>
          </w:p>
        </w:tc>
      </w:tr>
      <w:tr w:rsidR="00095C70" w14:paraId="1C381666" w14:textId="77777777" w:rsidTr="00095C70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274" w14:textId="77777777" w:rsidR="00095C70" w:rsidRDefault="00095C70" w:rsidP="00095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1FA7" w14:textId="35977880" w:rsidR="00095C70" w:rsidRDefault="00095C70" w:rsidP="00095C70">
            <w:pPr>
              <w:pStyle w:val="TableContents"/>
              <w:widowControl w:val="0"/>
              <w:rPr>
                <w:szCs w:val="22"/>
              </w:rPr>
            </w:pPr>
            <w:r w:rsidRPr="00F80D14">
              <w:t>Sală de seminar, calculator, videoproiector, tablă, Internet, teren</w:t>
            </w:r>
          </w:p>
        </w:tc>
      </w:tr>
    </w:tbl>
    <w:p w14:paraId="2EBFFA88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2842A8" w14:paraId="19BF6042" w14:textId="77777777" w:rsidTr="002842A8">
        <w:trPr>
          <w:cantSplit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0515" w14:textId="77777777" w:rsidR="002842A8" w:rsidRDefault="002842A8" w:rsidP="002842A8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4BF8" w14:textId="024DF875" w:rsidR="002842A8" w:rsidRDefault="002842A8" w:rsidP="002842A8">
            <w:pPr>
              <w:pStyle w:val="TableContents"/>
              <w:widowControl w:val="0"/>
            </w:pPr>
            <w:r w:rsidRPr="004755CD">
              <w:t>CP1. Utilizarea adecvată a conceptelor, teoriilor, metodelor și instrumentelor de natură financiară în entitățile</w:t>
            </w:r>
            <w:r>
              <w:t xml:space="preserve"> </w:t>
            </w:r>
            <w:r w:rsidRPr="004755CD">
              <w:t>/</w:t>
            </w:r>
            <w:r>
              <w:t xml:space="preserve"> </w:t>
            </w:r>
            <w:r w:rsidRPr="004755CD">
              <w:t xml:space="preserve">organizațiile private și publice </w:t>
            </w:r>
          </w:p>
          <w:p w14:paraId="59FEA9A7" w14:textId="60003FDD" w:rsidR="002842A8" w:rsidRDefault="002842A8" w:rsidP="002842A8">
            <w:pPr>
              <w:pStyle w:val="TableContents"/>
              <w:widowControl w:val="0"/>
              <w:rPr>
                <w:szCs w:val="22"/>
              </w:rPr>
            </w:pPr>
            <w:r w:rsidRPr="004755CD">
              <w:t>CP2. Culegerea, analiza și interpretarea de date și informații referitoare la probleme economico- financiare</w:t>
            </w:r>
          </w:p>
        </w:tc>
      </w:tr>
      <w:tr w:rsidR="002842A8" w14:paraId="40C8FF87" w14:textId="77777777" w:rsidTr="002842A8">
        <w:trPr>
          <w:cantSplit/>
        </w:trPr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8FBA" w14:textId="77777777" w:rsidR="002842A8" w:rsidRDefault="002842A8" w:rsidP="002842A8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C4E8" w14:textId="6BFE5E86" w:rsidR="002842A8" w:rsidRDefault="002842A8" w:rsidP="002842A8">
            <w:pPr>
              <w:pStyle w:val="TableContents"/>
              <w:widowControl w:val="0"/>
              <w:rPr>
                <w:szCs w:val="22"/>
              </w:rPr>
            </w:pPr>
            <w:r w:rsidRPr="002842A8">
              <w:rPr>
                <w:szCs w:val="22"/>
              </w:rPr>
              <w:t xml:space="preserve">CT1. Aplicarea principiilor, normelor </w:t>
            </w:r>
            <w:r w:rsidR="00E90025" w:rsidRPr="002842A8">
              <w:rPr>
                <w:szCs w:val="22"/>
              </w:rPr>
              <w:t>și</w:t>
            </w:r>
            <w:r w:rsidRPr="002842A8">
              <w:rPr>
                <w:szCs w:val="22"/>
              </w:rPr>
              <w:t xml:space="preserve"> valorilor eticii profesionale în cadrul propriei strategii de muncă riguroasă, eficientă </w:t>
            </w:r>
            <w:r w:rsidR="00E90025" w:rsidRPr="002842A8">
              <w:rPr>
                <w:szCs w:val="22"/>
              </w:rPr>
              <w:t>și</w:t>
            </w:r>
            <w:r w:rsidRPr="002842A8">
              <w:rPr>
                <w:szCs w:val="22"/>
              </w:rPr>
              <w:t xml:space="preserve"> responsabilă</w:t>
            </w:r>
          </w:p>
        </w:tc>
      </w:tr>
    </w:tbl>
    <w:p w14:paraId="79FFB2A2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6A5A7860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F3D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5EBAD2F9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74D2" w14:textId="10D3F132" w:rsidR="00E2220C" w:rsidRDefault="00E26A19">
            <w:pPr>
              <w:pStyle w:val="TableContents"/>
              <w:widowControl w:val="0"/>
              <w:ind w:left="170"/>
            </w:pPr>
            <w:r w:rsidRPr="00E26A19">
              <w:t xml:space="preserve">Formarea deprinderilor de utilizare a </w:t>
            </w:r>
            <w:r w:rsidR="00A44C56">
              <w:t>aplicațiilor specifice domeniului de studiu</w:t>
            </w:r>
            <w:r w:rsidRPr="00E26A19">
              <w:t>,</w:t>
            </w:r>
            <w:r w:rsidR="00A44C56">
              <w:t xml:space="preserve"> a</w:t>
            </w:r>
            <w:r w:rsidRPr="00E26A19">
              <w:t xml:space="preserve"> abilităților necesare în rezolvare de către student a problemelor adiacente din alte discipline și transferul de cunoștințe </w:t>
            </w:r>
            <w:r w:rsidR="00A44C56">
              <w:t>specifice</w:t>
            </w:r>
            <w:r w:rsidRPr="00E26A19">
              <w:t xml:space="preserve"> interdisciplinare</w:t>
            </w:r>
            <w:r w:rsidR="00A44C56">
              <w:t>.</w:t>
            </w:r>
            <w:r w:rsidRPr="00E26A19">
              <w:t xml:space="preserve"> Familiarizarea cu terminologia adecvată și riguroasă, însușirea </w:t>
            </w:r>
            <w:r w:rsidR="00A44C56">
              <w:t>deprinderilor necesare în utilizarea TIC</w:t>
            </w:r>
            <w:r w:rsidRPr="00E26A19">
              <w:t xml:space="preserve"> și aplicarea acestora.</w:t>
            </w:r>
          </w:p>
        </w:tc>
      </w:tr>
      <w:tr w:rsidR="00E2220C" w14:paraId="625FB853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DDC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F678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A. Obiective cognitive</w:t>
            </w:r>
          </w:p>
          <w:p w14:paraId="007A43B2" w14:textId="7B4F2CD8" w:rsidR="00AB12D1" w:rsidRDefault="00AB12D1" w:rsidP="00AB12D1">
            <w:pPr>
              <w:pStyle w:val="TableContents"/>
              <w:widowControl w:val="0"/>
              <w:ind w:left="170"/>
            </w:pPr>
            <w:r>
              <w:t>Cunoașterea aplica</w:t>
            </w:r>
            <w:r w:rsidR="0026196A">
              <w:t>țiilor TIC</w:t>
            </w:r>
            <w:r>
              <w:t xml:space="preserve"> </w:t>
            </w:r>
            <w:r w:rsidR="0026196A">
              <w:t xml:space="preserve">mai des utilizate </w:t>
            </w:r>
            <w:r>
              <w:t>în economie și corelarea acestora cu celelalte discipline; însușirea metodelor de abordare și problematizare economică; cunoașterea posibilităților și metodelor de aplicare a elementelor și metodelor TIC în domeniul economico-financiar.</w:t>
            </w:r>
          </w:p>
          <w:p w14:paraId="2A115838" w14:textId="77777777" w:rsidR="00AB12D1" w:rsidRDefault="00AB12D1" w:rsidP="00AB12D1">
            <w:pPr>
              <w:pStyle w:val="TableContents"/>
              <w:widowControl w:val="0"/>
              <w:ind w:left="170"/>
            </w:pPr>
          </w:p>
          <w:p w14:paraId="6D83BEEE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B. Obiective procedurale</w:t>
            </w:r>
          </w:p>
          <w:p w14:paraId="7240A44C" w14:textId="0581BD3C" w:rsidR="00AB12D1" w:rsidRDefault="00AB12D1" w:rsidP="00AB12D1">
            <w:pPr>
              <w:pStyle w:val="TableContents"/>
              <w:widowControl w:val="0"/>
              <w:ind w:left="170"/>
            </w:pPr>
            <w:r>
              <w:t xml:space="preserve">Capacitatea de </w:t>
            </w:r>
            <w:r w:rsidR="009B3F99">
              <w:t>recunoaștere</w:t>
            </w:r>
            <w:r>
              <w:t xml:space="preserve"> </w:t>
            </w:r>
            <w:r w:rsidR="009B3F99">
              <w:t>și</w:t>
            </w:r>
            <w:r>
              <w:t xml:space="preserve"> formulare a unei probleme dintr-un caz economic</w:t>
            </w:r>
            <w:r w:rsidR="0026196A">
              <w:t>o-financiar</w:t>
            </w:r>
            <w:r>
              <w:t xml:space="preserve"> sau dintr-o </w:t>
            </w:r>
            <w:r w:rsidR="009B3F99">
              <w:t>situație</w:t>
            </w:r>
            <w:r>
              <w:t xml:space="preserve"> practică din </w:t>
            </w:r>
            <w:r w:rsidR="009B3F99">
              <w:t>spațiul</w:t>
            </w:r>
            <w:r>
              <w:t xml:space="preserve"> economic </w:t>
            </w:r>
            <w:r w:rsidR="009B3F99">
              <w:t>și</w:t>
            </w:r>
            <w:r>
              <w:t xml:space="preserve"> </w:t>
            </w:r>
            <w:r w:rsidR="009B3F99">
              <w:t>încadrarea</w:t>
            </w:r>
            <w:r>
              <w:t xml:space="preserve"> acestei</w:t>
            </w:r>
            <w:r w:rsidR="009B3F99">
              <w:t>a</w:t>
            </w:r>
            <w:r>
              <w:t xml:space="preserve"> </w:t>
            </w:r>
            <w:r w:rsidR="009B3F99">
              <w:t>într-un</w:t>
            </w:r>
            <w:r>
              <w:t xml:space="preserve"> domeniu studiat</w:t>
            </w:r>
            <w:r w:rsidR="009B3F99">
              <w:t>.</w:t>
            </w:r>
            <w:r>
              <w:t xml:space="preserve"> Capacitatea de a trata algoritmic o astfel de problemă, de a </w:t>
            </w:r>
            <w:r w:rsidR="009B3F99">
              <w:t>selecta</w:t>
            </w:r>
            <w:r>
              <w:t xml:space="preserve"> </w:t>
            </w:r>
            <w:r w:rsidR="009B3F99">
              <w:t>și</w:t>
            </w:r>
            <w:r>
              <w:t xml:space="preserve"> aplica instrumente </w:t>
            </w:r>
            <w:r w:rsidR="009B3F99">
              <w:t>corespunzătoare</w:t>
            </w:r>
            <w:r>
              <w:t xml:space="preserve"> pentru rezolvarea ei; </w:t>
            </w:r>
            <w:r w:rsidR="009B3F99">
              <w:t>c</w:t>
            </w:r>
            <w:r>
              <w:t xml:space="preserve">apacitatea de a efectua un studiu de caz; </w:t>
            </w:r>
            <w:r w:rsidR="009B3F99">
              <w:t>c</w:t>
            </w:r>
            <w:r>
              <w:t xml:space="preserve">apacitatea de a fundamenta decizii pe baza </w:t>
            </w:r>
            <w:r w:rsidR="009B3F99">
              <w:t>informațiilor</w:t>
            </w:r>
            <w:r>
              <w:t xml:space="preserve"> economico-financiare. </w:t>
            </w:r>
          </w:p>
          <w:p w14:paraId="4785D2B1" w14:textId="77777777" w:rsidR="009861C3" w:rsidRDefault="009861C3" w:rsidP="00AB12D1">
            <w:pPr>
              <w:pStyle w:val="TableContents"/>
              <w:widowControl w:val="0"/>
              <w:ind w:left="170"/>
            </w:pPr>
          </w:p>
          <w:p w14:paraId="34EBFC4F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C. Obiective atitudinale</w:t>
            </w:r>
          </w:p>
          <w:p w14:paraId="53F11281" w14:textId="221257C2" w:rsidR="00E2220C" w:rsidRDefault="00AB12D1" w:rsidP="00AB12D1">
            <w:pPr>
              <w:pStyle w:val="TableContents"/>
              <w:widowControl w:val="0"/>
              <w:ind w:left="170"/>
            </w:pPr>
            <w:r>
              <w:t xml:space="preserve">Capacitatea de a lucra </w:t>
            </w:r>
            <w:r w:rsidR="009861C3">
              <w:t>în</w:t>
            </w:r>
            <w:r>
              <w:t xml:space="preserve"> echipă; </w:t>
            </w:r>
            <w:r w:rsidR="00644278">
              <w:t>c</w:t>
            </w:r>
            <w:r>
              <w:t xml:space="preserve">ultivarea unor atitudini constructive </w:t>
            </w:r>
            <w:r w:rsidR="009861C3">
              <w:t>î</w:t>
            </w:r>
            <w:r>
              <w:t xml:space="preserve">n contexte </w:t>
            </w:r>
            <w:r w:rsidR="009861C3">
              <w:t>organizaționale</w:t>
            </w:r>
            <w:r>
              <w:t xml:space="preserve"> variate.</w:t>
            </w:r>
          </w:p>
        </w:tc>
      </w:tr>
    </w:tbl>
    <w:p w14:paraId="0D2F43B6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0FF6D51E" w14:textId="77777777" w:rsidTr="00C5012C">
        <w:trPr>
          <w:cantSplit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64BF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E61B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50CF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721EA2" w14:paraId="63F76630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910E" w14:textId="34089A9C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262FD">
              <w:rPr>
                <w:rFonts w:cs="Times New Roman"/>
                <w:sz w:val="24"/>
              </w:rPr>
              <w:t>Introducere. Noțiuni fundamentale. Istoric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7F8F" w14:textId="488705F8" w:rsidR="00721EA2" w:rsidRDefault="00721EA2" w:rsidP="00721EA2">
            <w:pPr>
              <w:tabs>
                <w:tab w:val="left" w:pos="820"/>
              </w:tabs>
              <w:spacing w:before="1"/>
              <w:ind w:right="-2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50A4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34F2F3A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2BA3" w14:textId="72838D52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262FD">
              <w:rPr>
                <w:rFonts w:cs="Times New Roman"/>
                <w:sz w:val="24"/>
              </w:rPr>
              <w:t>I</w:t>
            </w:r>
            <w:r>
              <w:rPr>
                <w:rFonts w:cs="Times New Roman"/>
                <w:sz w:val="24"/>
              </w:rPr>
              <w:t>erarhia date – i</w:t>
            </w:r>
            <w:r w:rsidRPr="008262FD">
              <w:rPr>
                <w:rFonts w:cs="Times New Roman"/>
                <w:sz w:val="24"/>
              </w:rPr>
              <w:t>nformați</w:t>
            </w:r>
            <w:r>
              <w:rPr>
                <w:rFonts w:cs="Times New Roman"/>
                <w:sz w:val="24"/>
              </w:rPr>
              <w:t xml:space="preserve">i – cunoștințe – cunoaștere </w:t>
            </w:r>
            <w:r w:rsidRPr="008262FD">
              <w:rPr>
                <w:rFonts w:cs="Times New Roman"/>
                <w:sz w:val="24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CAC8" w14:textId="6B666AFF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27D6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2D37A764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A011" w14:textId="6C062533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Organizarea datelor și informațiilor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87D0" w14:textId="326EF769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1605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61AC6257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E8B" w14:textId="72DD4A07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Baze de date. Sortare și căutare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84D2" w14:textId="01FC9BE9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3C77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539366A0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9DE4" w14:textId="464836EE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262FD">
              <w:rPr>
                <w:rFonts w:cs="Times New Roman"/>
                <w:sz w:val="24"/>
              </w:rPr>
              <w:t>Internetul</w:t>
            </w:r>
            <w:r>
              <w:rPr>
                <w:rFonts w:cs="Times New Roman"/>
                <w:sz w:val="24"/>
              </w:rPr>
              <w:t>. Căutări complexe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F816" w14:textId="5B7C2F98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500B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72DD219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DD8B" w14:textId="77D2564A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Magazii de date. Mineritul datelor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FA08" w14:textId="5987022A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EB42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21EA2" w14:paraId="7CD397B8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4753" w14:textId="0B237E18" w:rsidR="00721EA2" w:rsidRDefault="00721EA2" w:rsidP="00721EA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Informatica comunitară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F31F" w14:textId="41CEE7C9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E067" w14:textId="77777777" w:rsidR="00721EA2" w:rsidRDefault="00721EA2" w:rsidP="00721EA2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1C762F3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78E9" w14:textId="552E1E69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Societatea informațională și societatea bazată pe cunoștințe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6147" w14:textId="1C84A408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CA71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1702BA1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F6FF" w14:textId="65518EA4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Birotica. Biroul inteligent</w:t>
            </w:r>
            <w:r w:rsidRPr="008262FD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8B8C" w14:textId="6F82AD85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5DE3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61DB116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ACB2" w14:textId="04DA0405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Comerțul electronic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116A" w14:textId="72315CE8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E6CE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2147BEDB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6879" w14:textId="3AD8F082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lastRenderedPageBreak/>
              <w:t>Economia digitală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6E8" w14:textId="50364E2F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D106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671DCC99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8BB5" w14:textId="2F8F8A03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Finanțe digitale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88C8" w14:textId="2AF6639C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14F4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3E38506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025D" w14:textId="3BB8AF19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Inteligența artificială și Internetul obiectelor.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A27E" w14:textId="3AAB8399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AD97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71983CC8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2B08" w14:textId="28D1299D" w:rsidR="00A866FB" w:rsidRDefault="00A866FB" w:rsidP="00A866F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262FD">
              <w:rPr>
                <w:rFonts w:cs="Times New Roman"/>
                <w:sz w:val="24"/>
              </w:rPr>
              <w:t>Sinteză. Concluzii. Predicții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7A71" w14:textId="33CDA97E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2527" w14:textId="77777777" w:rsidR="00A866FB" w:rsidRDefault="00A866FB" w:rsidP="00A866F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866FB" w14:paraId="698FCBEA" w14:textId="77777777" w:rsidTr="00C5012C">
        <w:trPr>
          <w:cantSplit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A8E8" w14:textId="77777777" w:rsidR="00A866FB" w:rsidRDefault="00A866FB" w:rsidP="00A866FB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DFC" w14:textId="77777777" w:rsidR="00A866FB" w:rsidRDefault="00A866FB" w:rsidP="00A866FB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0035" w14:textId="77777777" w:rsidR="00A866FB" w:rsidRDefault="00A866FB" w:rsidP="00A866FB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866FB" w14:paraId="2159065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C7F8" w14:textId="08A6D1A7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8262FD">
              <w:rPr>
                <w:rFonts w:cs="Times New Roman"/>
                <w:sz w:val="24"/>
              </w:rPr>
              <w:t xml:space="preserve">Introducere.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4784" w14:textId="4C0AA4FB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Discuții</w:t>
            </w:r>
            <w:r w:rsidRPr="00E669F6">
              <w:rPr>
                <w:rFonts w:cs="Times New Roman"/>
                <w:b w:val="0"/>
                <w:sz w:val="24"/>
              </w:rPr>
              <w:t>, material vizual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654C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342B9E4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7A31" w14:textId="4019C661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Softuri pt. birotică. Office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9F4A" w14:textId="6436E577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AC88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04F6645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88A1" w14:textId="18ED1BC0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Editarea de texte. Word for Windows</w:t>
            </w:r>
            <w:r w:rsidRPr="008262FD">
              <w:rPr>
                <w:rFonts w:cs="Times New Roman"/>
                <w:sz w:val="24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4063" w14:textId="1514BBCF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DCC6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45FC9C39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DB62" w14:textId="68324857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Editarea de texte. Word for Windows</w:t>
            </w:r>
            <w:r w:rsidRPr="008262FD">
              <w:rPr>
                <w:rFonts w:cs="Times New Roman"/>
                <w:sz w:val="24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471F" w14:textId="57B70921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484E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6D5B616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FFEA" w14:textId="743B4AAA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Editarea de texte. Word for Windows</w:t>
            </w:r>
            <w:r w:rsidRPr="008262FD">
              <w:rPr>
                <w:rFonts w:cs="Times New Roman"/>
                <w:sz w:val="24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793D" w14:textId="4FF49A96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1311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0DCC731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40F2" w14:textId="6D92AFA1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Calcul tabelar. Excel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7B6D" w14:textId="7A3404E2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D392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5BFF8D7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E8BD" w14:textId="59CEB827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Calcul tabelar. Excel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8643" w14:textId="42073850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6585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02E94D5B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C227" w14:textId="2494B06C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Calcul tabelar. Excel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4DA7" w14:textId="16750BAC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C054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233A127F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52D5" w14:textId="0DA6B8DE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Baze de date. Access for Windows</w:t>
            </w:r>
            <w:r w:rsidRPr="008262FD">
              <w:rPr>
                <w:rFonts w:cs="Times New Roman"/>
                <w:sz w:val="24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86C1" w14:textId="6E5CE494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6EA3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1552EF8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5D38" w14:textId="66A60704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Baze de date. Access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E0F9" w14:textId="069CBC43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69B4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16EF1D11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501C" w14:textId="53AD083E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Alcătuirea de prezentații. Powerpoint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6E2" w14:textId="7DB76FD6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D53B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436798E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C68D" w14:textId="27E77EF0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Alte programe din pachetul Office for Windows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3F6" w14:textId="1E152968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CE35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7643C82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957C" w14:textId="77811144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 w:val="24"/>
              </w:rPr>
              <w:t>Protecția sistemelor de calcul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AAA2" w14:textId="7BD35A1F" w:rsidR="00A866FB" w:rsidRPr="00E669F6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 w:rsidRPr="00E669F6">
              <w:rPr>
                <w:rFonts w:cs="Times New Roman"/>
                <w:b w:val="0"/>
                <w:spacing w:val="-1"/>
                <w:sz w:val="24"/>
              </w:rPr>
              <w:t>Exemple,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FAF8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2F1B27B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1B4B" w14:textId="245E7F23" w:rsidR="00A866FB" w:rsidRDefault="00A866FB" w:rsidP="00A866F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DCCB" w14:textId="3E0BBD6B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Lucrare scrisă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3BB3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4FB14D3E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10E3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AEE8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B6F9" w14:textId="77777777" w:rsidR="00A866FB" w:rsidRDefault="00A866FB" w:rsidP="00A866FB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866FB" w14:paraId="59B661DC" w14:textId="77777777" w:rsidTr="00C5012C">
        <w:trPr>
          <w:cantSplit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14BE" w14:textId="77777777" w:rsidR="00A866FB" w:rsidRDefault="00A866FB" w:rsidP="00A866FB">
            <w:pPr>
              <w:pStyle w:val="Fisasubtitlubibliografie"/>
              <w:widowControl w:val="0"/>
            </w:pPr>
            <w:r>
              <w:t>Bibliografie obligatorie</w:t>
            </w:r>
          </w:p>
          <w:p w14:paraId="381D7239" w14:textId="44C5C6D7" w:rsidR="00A866FB" w:rsidRDefault="00A866FB" w:rsidP="00A866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67" w:hanging="567"/>
              <w:rPr>
                <w:rFonts w:cs="Times New Roman"/>
                <w:color w:val="000000"/>
                <w:sz w:val="24"/>
              </w:rPr>
            </w:pPr>
            <w:r w:rsidRPr="001C4C60">
              <w:rPr>
                <w:rFonts w:cs="Times New Roman"/>
                <w:color w:val="000000"/>
                <w:sz w:val="24"/>
              </w:rPr>
              <w:t>Zakota Zoltán: A gazdasági informatika alapjai. Partium Kiadó</w:t>
            </w:r>
            <w:r>
              <w:rPr>
                <w:rFonts w:cs="Times New Roman"/>
                <w:color w:val="000000"/>
                <w:sz w:val="24"/>
              </w:rPr>
              <w:t xml:space="preserve">, </w:t>
            </w:r>
            <w:r w:rsidRPr="001C4C60">
              <w:rPr>
                <w:rFonts w:cs="Times New Roman"/>
                <w:color w:val="000000"/>
                <w:sz w:val="24"/>
              </w:rPr>
              <w:t>Nagyvárad, 2011</w:t>
            </w:r>
          </w:p>
          <w:p w14:paraId="76207CFB" w14:textId="77777777" w:rsidR="00A866FB" w:rsidRDefault="00A866FB" w:rsidP="00A866FB">
            <w:pPr>
              <w:pStyle w:val="Fisasubtitlubibliografie"/>
              <w:widowControl w:val="0"/>
            </w:pPr>
          </w:p>
          <w:p w14:paraId="55A5E2D9" w14:textId="56076E54" w:rsidR="00A866FB" w:rsidRDefault="00A866FB" w:rsidP="00A866FB">
            <w:pPr>
              <w:pStyle w:val="Fisasubtitlubibliografie"/>
              <w:widowControl w:val="0"/>
            </w:pPr>
            <w:r>
              <w:t>Bibliografie facultativă</w:t>
            </w:r>
          </w:p>
          <w:p w14:paraId="4132D44D" w14:textId="7D68E3D9" w:rsidR="00A866FB" w:rsidRPr="001C4C60" w:rsidRDefault="005D744C" w:rsidP="00A866F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67" w:hanging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Situri web de specialitate.</w:t>
            </w:r>
          </w:p>
          <w:p w14:paraId="6F98F330" w14:textId="64F993BF" w:rsidR="00A866FB" w:rsidRPr="005C13F9" w:rsidRDefault="00A866FB" w:rsidP="00A866FB"/>
        </w:tc>
      </w:tr>
    </w:tbl>
    <w:p w14:paraId="44D524A4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47D0E30E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7AC0" w14:textId="6C125211" w:rsidR="00E2220C" w:rsidRDefault="00EB4883">
            <w:pPr>
              <w:pStyle w:val="TableContents"/>
              <w:widowControl w:val="0"/>
            </w:pPr>
            <w:r w:rsidRPr="00EB4883">
              <w:t>Conținutul disciplinei este în concordanță cu ceea ce se studiază în alte centre universitare din țară și din străinătate, precum și cu cerințele activităților profesionale derulate în cadrul organizațiilor angajatoare.</w:t>
            </w:r>
          </w:p>
        </w:tc>
      </w:tr>
    </w:tbl>
    <w:p w14:paraId="33A3589E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053EB208" w14:textId="77777777" w:rsidTr="005A7D34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78A5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243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166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DF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1F393AFF" w14:textId="77777777" w:rsidTr="005A7D34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8CC9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D77B" w14:textId="13982CBB" w:rsidR="00E2220C" w:rsidRDefault="00EA3CCE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6911" w14:textId="5C12FB60" w:rsidR="00E2220C" w:rsidRDefault="00EA3CCE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Colocviu: t</w:t>
            </w:r>
            <w:r w:rsidR="002D6E4E">
              <w:rPr>
                <w:szCs w:val="22"/>
              </w:rPr>
              <w:t>est complex conținând întrebări din materia predată.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93C8" w14:textId="398CBC4C" w:rsidR="00E2220C" w:rsidRDefault="005A7D3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EA3CCE">
              <w:rPr>
                <w:szCs w:val="22"/>
              </w:rPr>
              <w:t>0%</w:t>
            </w:r>
          </w:p>
        </w:tc>
      </w:tr>
      <w:tr w:rsidR="005A7D34" w14:paraId="35251799" w14:textId="77777777" w:rsidTr="003B55CC">
        <w:trPr>
          <w:trHeight w:val="547"/>
        </w:trPr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990C38" w14:textId="77777777" w:rsidR="005A7D34" w:rsidRDefault="005A7D34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76BA68" w14:textId="4FF8C2AC" w:rsidR="005A7D34" w:rsidRDefault="005A7D34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D736" w14:textId="464A645C" w:rsidR="005A7D34" w:rsidRDefault="005A7D3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Lucrare de casă: originalitate, calitatea și claritatea tratării subiectului, calitatea bibliografiei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0BA3" w14:textId="6479E724" w:rsidR="005A7D34" w:rsidRDefault="005A7D3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20%</w:t>
            </w:r>
          </w:p>
        </w:tc>
      </w:tr>
      <w:tr w:rsidR="005A7D34" w14:paraId="69E5E1C2" w14:textId="77777777" w:rsidTr="005A7D34">
        <w:trPr>
          <w:trHeight w:val="547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CBEA" w14:textId="77777777" w:rsidR="005A7D34" w:rsidRDefault="005A7D34">
            <w:pPr>
              <w:widowControl w:val="0"/>
              <w:numPr>
                <w:ilvl w:val="1"/>
                <w:numId w:val="2"/>
              </w:numPr>
            </w:pPr>
          </w:p>
        </w:tc>
        <w:tc>
          <w:tcPr>
            <w:tcW w:w="33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9CE3" w14:textId="77777777" w:rsidR="005A7D34" w:rsidRPr="00FA1135" w:rsidRDefault="005A7D34">
            <w:pPr>
              <w:widowControl w:val="0"/>
              <w:rPr>
                <w:rFonts w:cs="Times New Roman"/>
                <w:sz w:val="24"/>
              </w:rPr>
            </w:pP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71E1" w14:textId="7BC9933F" w:rsidR="005A7D34" w:rsidRDefault="005A7D3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Examen practic: cunoașterea softurilor, abilitate în utilizarea acestora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8E2C" w14:textId="1C0C3A35" w:rsidR="005A7D34" w:rsidRDefault="005A7D3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E2220C" w14:paraId="0CBA7E0B" w14:textId="77777777" w:rsidTr="005A7D34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28F0" w14:textId="5ED6A56A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Standard minim de performanță: </w:t>
            </w:r>
            <w:r w:rsidR="00D16BC2" w:rsidRPr="00D16BC2">
              <w:rPr>
                <w:szCs w:val="22"/>
              </w:rPr>
              <w:t>Obținerea a minim 50% din punctajul total acordat</w:t>
            </w:r>
            <w:r w:rsidR="00D16BC2">
              <w:rPr>
                <w:szCs w:val="22"/>
              </w:rPr>
              <w:t xml:space="preserve"> </w:t>
            </w:r>
            <w:r w:rsidR="00D16BC2" w:rsidRPr="00D16BC2">
              <w:rPr>
                <w:szCs w:val="22"/>
              </w:rPr>
              <w:t>(minimum nota 5)</w:t>
            </w:r>
          </w:p>
        </w:tc>
      </w:tr>
      <w:tr w:rsidR="00E2220C" w14:paraId="1854B6E7" w14:textId="77777777" w:rsidTr="005A7D34">
        <w:tc>
          <w:tcPr>
            <w:tcW w:w="2549" w:type="dxa"/>
            <w:gridSpan w:val="2"/>
            <w:shd w:val="clear" w:color="auto" w:fill="auto"/>
          </w:tcPr>
          <w:p w14:paraId="30922031" w14:textId="77777777" w:rsidR="00792D06" w:rsidRDefault="00792D06">
            <w:pPr>
              <w:widowControl w:val="0"/>
              <w:rPr>
                <w:b/>
                <w:bCs/>
              </w:rPr>
            </w:pPr>
          </w:p>
          <w:p w14:paraId="69823367" w14:textId="7B02AC1F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42FAD43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2BAC9ECC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E2220C" w14:paraId="451CC6F4" w14:textId="77777777" w:rsidTr="005A7D34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04F977A4" w14:textId="62199B97" w:rsidR="00E2220C" w:rsidRDefault="00DA7442">
            <w:pPr>
              <w:widowControl w:val="0"/>
            </w:pPr>
            <w:r>
              <w:t>01</w:t>
            </w:r>
            <w:r w:rsidR="008C4BDA">
              <w:t xml:space="preserve"> </w:t>
            </w:r>
            <w:r>
              <w:t>octombrie</w:t>
            </w:r>
            <w:r w:rsidR="008C4BDA">
              <w:t xml:space="preserve"> 202</w:t>
            </w:r>
            <w:r w:rsidR="00CB3D02">
              <w:t>1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16F7922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5C871425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1460DA61" w14:textId="77777777" w:rsidTr="005A7D34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C094D9D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BF36B1C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6EF79DA4" w14:textId="77777777" w:rsidTr="005A7D34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62A68078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289B7581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2C679D3B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026BEA"/>
    <w:rsid w:val="00095C70"/>
    <w:rsid w:val="000C3A41"/>
    <w:rsid w:val="0026196A"/>
    <w:rsid w:val="002842A8"/>
    <w:rsid w:val="002D6E4E"/>
    <w:rsid w:val="002D7C69"/>
    <w:rsid w:val="00324A08"/>
    <w:rsid w:val="005A7D34"/>
    <w:rsid w:val="005C13F9"/>
    <w:rsid w:val="005C2914"/>
    <w:rsid w:val="005D744C"/>
    <w:rsid w:val="00644278"/>
    <w:rsid w:val="006514E0"/>
    <w:rsid w:val="006E6EF2"/>
    <w:rsid w:val="00710FF8"/>
    <w:rsid w:val="00721EA2"/>
    <w:rsid w:val="00792D06"/>
    <w:rsid w:val="008024BC"/>
    <w:rsid w:val="00824408"/>
    <w:rsid w:val="008C4BDA"/>
    <w:rsid w:val="008D60CB"/>
    <w:rsid w:val="0093751C"/>
    <w:rsid w:val="009861C3"/>
    <w:rsid w:val="009911FE"/>
    <w:rsid w:val="009B3F99"/>
    <w:rsid w:val="00A043C7"/>
    <w:rsid w:val="00A44C56"/>
    <w:rsid w:val="00A866FB"/>
    <w:rsid w:val="00AB12D1"/>
    <w:rsid w:val="00AE1F90"/>
    <w:rsid w:val="00B13789"/>
    <w:rsid w:val="00C5012C"/>
    <w:rsid w:val="00CB3D02"/>
    <w:rsid w:val="00CC6C93"/>
    <w:rsid w:val="00D16BC2"/>
    <w:rsid w:val="00DA7442"/>
    <w:rsid w:val="00E2220C"/>
    <w:rsid w:val="00E26A19"/>
    <w:rsid w:val="00E669F6"/>
    <w:rsid w:val="00E90025"/>
    <w:rsid w:val="00EA3CCE"/>
    <w:rsid w:val="00EB4883"/>
    <w:rsid w:val="00EC1325"/>
    <w:rsid w:val="00EE6F8E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91F"/>
  <w15:docId w15:val="{3F1FE087-64DE-4BDB-BDF9-FB3CA858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Vigh Enikő Zita</cp:lastModifiedBy>
  <cp:revision>5</cp:revision>
  <dcterms:created xsi:type="dcterms:W3CDTF">2020-11-30T16:11:00Z</dcterms:created>
  <dcterms:modified xsi:type="dcterms:W3CDTF">2021-10-29T12:07:00Z</dcterms:modified>
  <dc:language>hu-HU</dc:language>
</cp:coreProperties>
</file>